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B5433">
      <w:pPr>
        <w:pStyle w:val="3"/>
        <w:keepNext w:val="0"/>
        <w:keepLines w:val="0"/>
        <w:widowControl/>
        <w:shd w:val="clear" w:color="auto" w:fill="FFFFFF"/>
        <w:autoSpaceDE w:val="0"/>
        <w:autoSpaceDN w:val="0"/>
        <w:adjustRightInd w:val="0"/>
        <w:snapToGrid w:val="0"/>
        <w:spacing w:before="0" w:after="0"/>
        <w:jc w:val="left"/>
        <w:rPr>
          <w:rFonts w:hint="eastAsia" w:ascii="方正小标宋简体" w:hAnsi="华文中宋" w:eastAsia="方正小标宋简体"/>
          <w:b w:val="0"/>
          <w:bCs w:val="0"/>
          <w:highlight w:val="none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b w:val="0"/>
          <w:szCs w:val="32"/>
          <w:highlight w:val="none"/>
        </w:rPr>
        <w:t>附件</w:t>
      </w:r>
    </w:p>
    <w:p w14:paraId="6485621D">
      <w:pPr>
        <w:pStyle w:val="2"/>
        <w:tabs>
          <w:tab w:val="left" w:pos="0"/>
          <w:tab w:val="left" w:pos="2495"/>
          <w:tab w:val="center" w:pos="4153"/>
        </w:tabs>
        <w:autoSpaceDE w:val="0"/>
        <w:autoSpaceDN w:val="0"/>
        <w:adjustRightInd w:val="0"/>
        <w:snapToGrid w:val="0"/>
        <w:spacing w:before="0" w:after="0" w:line="240" w:lineRule="auto"/>
        <w:jc w:val="center"/>
        <w:rPr>
          <w:rFonts w:hint="eastAsia"/>
          <w:highlight w:val="none"/>
        </w:rPr>
      </w:pPr>
      <w:r>
        <w:rPr>
          <w:rFonts w:hint="eastAsia" w:ascii="方正小标宋简体" w:hAnsi="华文中宋" w:eastAsia="方正小标宋简体"/>
          <w:b w:val="0"/>
          <w:bCs w:val="0"/>
          <w:highlight w:val="none"/>
          <w:lang w:eastAsia="zh-CN"/>
        </w:rPr>
        <w:t>评分标准</w:t>
      </w:r>
    </w:p>
    <w:tbl>
      <w:tblPr>
        <w:tblStyle w:val="12"/>
        <w:tblW w:w="5125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070"/>
        <w:gridCol w:w="644"/>
        <w:gridCol w:w="4899"/>
        <w:gridCol w:w="1238"/>
      </w:tblGrid>
      <w:tr w14:paraId="4424778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7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E1205C5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333333"/>
                <w:sz w:val="28"/>
                <w:szCs w:val="28"/>
                <w:highlight w:val="none"/>
              </w:rPr>
              <w:t>评分项及评分规则</w:t>
            </w:r>
          </w:p>
        </w:tc>
        <w:tc>
          <w:tcPr>
            <w:tcW w:w="12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AC70216">
            <w:pPr>
              <w:pStyle w:val="10"/>
              <w:widowControl/>
              <w:spacing w:beforeAutospacing="0" w:afterAutospacing="0" w:line="400" w:lineRule="exact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333333"/>
                <w:sz w:val="28"/>
                <w:szCs w:val="28"/>
                <w:highlight w:val="none"/>
              </w:rPr>
              <w:t>　分值</w:t>
            </w:r>
          </w:p>
        </w:tc>
      </w:tr>
      <w:tr w14:paraId="1D51CAB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7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DC3C513">
            <w:pPr>
              <w:pStyle w:val="10"/>
              <w:widowControl/>
              <w:spacing w:beforeAutospacing="0" w:afterAutospacing="0" w:line="400" w:lineRule="exact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333333"/>
                <w:sz w:val="28"/>
                <w:szCs w:val="28"/>
                <w:highlight w:val="none"/>
              </w:rPr>
              <w:t>一、价格分</w:t>
            </w:r>
          </w:p>
        </w:tc>
        <w:tc>
          <w:tcPr>
            <w:tcW w:w="12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425C547">
            <w:pPr>
              <w:pStyle w:val="10"/>
              <w:widowControl/>
              <w:spacing w:beforeAutospacing="0" w:afterAutospacing="0" w:line="400" w:lineRule="exact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333333"/>
                <w:sz w:val="28"/>
                <w:szCs w:val="28"/>
                <w:highlight w:val="none"/>
              </w:rPr>
              <w:t>　　15</w:t>
            </w:r>
          </w:p>
        </w:tc>
      </w:tr>
      <w:tr w14:paraId="2E5D64E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7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CFE3619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　　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价格分采用低价优先法计算，计算公式如下：</w:t>
            </w:r>
          </w:p>
          <w:p w14:paraId="6BCD1ADA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　　投标报价得分P1</w:t>
            </w:r>
          </w:p>
          <w:p w14:paraId="310DAB6D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　　P1=Z1/Sn1*15分</w:t>
            </w:r>
          </w:p>
          <w:p w14:paraId="025F8B36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　　Z1---评标基准价，即通过资格性审查和符合性审查且投标价格最低的投标报价。</w:t>
            </w:r>
          </w:p>
          <w:p w14:paraId="61F526E7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　　Sn1---投标报价，即通过资格性审查和符合性审查的投标报价</w:t>
            </w:r>
          </w:p>
        </w:tc>
        <w:tc>
          <w:tcPr>
            <w:tcW w:w="12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D09ADDB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按公式计算评分</w:t>
            </w:r>
          </w:p>
        </w:tc>
      </w:tr>
      <w:tr w14:paraId="36A295E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7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EF87C3C">
            <w:pPr>
              <w:pStyle w:val="10"/>
              <w:widowControl/>
              <w:spacing w:beforeAutospacing="0" w:afterAutospacing="0" w:line="400" w:lineRule="exact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333333"/>
                <w:sz w:val="28"/>
                <w:szCs w:val="28"/>
                <w:highlight w:val="none"/>
              </w:rPr>
              <w:t>二、技术分</w:t>
            </w:r>
          </w:p>
        </w:tc>
        <w:tc>
          <w:tcPr>
            <w:tcW w:w="12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2E6FEE5">
            <w:pPr>
              <w:pStyle w:val="10"/>
              <w:widowControl/>
              <w:spacing w:beforeAutospacing="0" w:afterAutospacing="0"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333333"/>
                <w:sz w:val="28"/>
                <w:szCs w:val="28"/>
                <w:highlight w:val="none"/>
              </w:rPr>
              <w:t>　6</w:t>
            </w:r>
            <w:r>
              <w:rPr>
                <w:rFonts w:hint="eastAsia" w:ascii="仿宋_GB2312" w:hAnsi="仿宋_GB2312" w:cs="仿宋_GB2312"/>
                <w:b/>
                <w:bCs/>
                <w:color w:val="333333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</w:tr>
      <w:tr w14:paraId="048BE01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CFACC6E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333333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0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26A2636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333333"/>
                <w:sz w:val="28"/>
                <w:szCs w:val="28"/>
                <w:highlight w:val="none"/>
              </w:rPr>
              <w:t>内容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7CA2936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highlight w:val="none"/>
              </w:rPr>
              <w:t>分值</w:t>
            </w:r>
          </w:p>
        </w:tc>
        <w:tc>
          <w:tcPr>
            <w:tcW w:w="612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6FF3DCC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333333"/>
                <w:sz w:val="28"/>
                <w:szCs w:val="28"/>
                <w:highlight w:val="none"/>
              </w:rPr>
              <w:t>评分规则</w:t>
            </w:r>
          </w:p>
        </w:tc>
      </w:tr>
      <w:tr w14:paraId="2E14169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94CAB22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0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806CA9E">
            <w:pPr>
              <w:pStyle w:val="10"/>
              <w:widowControl/>
              <w:spacing w:beforeAutospacing="0" w:afterAutospacing="0" w:line="40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项目理解和响应情况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118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12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867B147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根据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对本项目背景、采购内容的理解情况进行评价：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①对本项目背景、采购内容有全面、正确的理解，对采购要求响应全面、分析透彻得</w:t>
            </w:r>
            <w:r>
              <w:rPr>
                <w:rFonts w:hint="default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default" w:ascii="仿宋_GB2312" w:hAnsi="仿宋_GB2312" w:cs="仿宋_GB2312"/>
                <w:color w:val="auto"/>
                <w:sz w:val="28"/>
                <w:szCs w:val="28"/>
                <w:highlight w:val="none"/>
              </w:rPr>
              <w:t>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；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②对项目背景、采购内容基本理解，对采购要求响应基本覆盖，分析相对清楚得</w:t>
            </w:r>
            <w:r>
              <w:rPr>
                <w:rFonts w:hint="default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仿宋_GB2312" w:hAnsi="仿宋_GB2312" w:cs="仿宋_GB2312"/>
                <w:color w:val="auto"/>
                <w:sz w:val="28"/>
                <w:szCs w:val="28"/>
                <w:highlight w:val="none"/>
              </w:rPr>
              <w:t>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；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③对项目背景、采购内容部分理解，对采购要求响应部分覆盖得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分；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④未提供或与实际采购内容严重偏离的不得分。</w:t>
            </w:r>
          </w:p>
        </w:tc>
      </w:tr>
      <w:tr w14:paraId="3019B50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9DAA5C6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0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7E8148D">
            <w:pPr>
              <w:pStyle w:val="10"/>
              <w:widowControl/>
              <w:spacing w:beforeAutospacing="0" w:afterAutospacing="0" w:line="40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整体服务方案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C20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12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C48CBAA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根据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供应商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8"/>
                <w:szCs w:val="28"/>
                <w:highlight w:val="none"/>
              </w:rPr>
              <w:t>针对本项目的特点制定的整体服务方案进行评价：</w:t>
            </w:r>
          </w:p>
          <w:p w14:paraId="3735491F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①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8"/>
                <w:szCs w:val="28"/>
                <w:highlight w:val="none"/>
              </w:rPr>
              <w:t>服务方案阐述</w:t>
            </w:r>
            <w:r>
              <w:rPr>
                <w:rFonts w:hint="eastAsia" w:ascii="仿宋_GB2312" w:hAnsi="仿宋_GB2312" w:cs="仿宋_GB2312"/>
                <w:color w:val="auto"/>
                <w:spacing w:val="2"/>
                <w:sz w:val="28"/>
                <w:szCs w:val="28"/>
                <w:highlight w:val="none"/>
              </w:rPr>
              <w:t>完整，内容全面</w:t>
            </w:r>
            <w:r>
              <w:rPr>
                <w:rFonts w:hint="eastAsia" w:ascii="仿宋_GB2312" w:hAnsi="仿宋_GB2312" w:cs="仿宋_GB2312"/>
                <w:color w:val="auto"/>
                <w:spacing w:val="2"/>
                <w:sz w:val="28"/>
                <w:szCs w:val="28"/>
                <w:highlight w:val="none"/>
                <w:lang w:eastAsia="zh-CN"/>
              </w:rPr>
              <w:t>覆盖</w:t>
            </w:r>
            <w:r>
              <w:rPr>
                <w:rFonts w:hint="eastAsia" w:ascii="仿宋_GB2312" w:hAnsi="仿宋_GB2312" w:cs="仿宋_GB2312"/>
                <w:color w:val="auto"/>
                <w:spacing w:val="2"/>
                <w:sz w:val="28"/>
                <w:szCs w:val="28"/>
                <w:highlight w:val="none"/>
              </w:rPr>
              <w:t>，</w:t>
            </w:r>
            <w:r>
              <w:rPr>
                <w:rFonts w:hint="eastAsia" w:ascii="仿宋_GB2312" w:hAnsi="仿宋_GB2312" w:cs="仿宋_GB2312"/>
                <w:color w:val="auto"/>
                <w:spacing w:val="2"/>
                <w:sz w:val="28"/>
                <w:szCs w:val="28"/>
                <w:highlight w:val="none"/>
                <w:lang w:eastAsia="zh-CN"/>
              </w:rPr>
              <w:t>服务举措</w:t>
            </w:r>
            <w:r>
              <w:rPr>
                <w:rFonts w:hint="eastAsia" w:ascii="仿宋_GB2312" w:hAnsi="仿宋_GB2312" w:cs="仿宋_GB2312"/>
                <w:color w:val="auto"/>
                <w:spacing w:val="2"/>
                <w:sz w:val="28"/>
                <w:szCs w:val="28"/>
                <w:highlight w:val="none"/>
              </w:rPr>
              <w:t>科学合理，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有利于本项目实施的得9分；</w:t>
            </w:r>
          </w:p>
          <w:p w14:paraId="1F454A35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②</w:t>
            </w:r>
            <w:r>
              <w:rPr>
                <w:rFonts w:hint="eastAsia" w:ascii="仿宋_GB2312" w:hAnsi="仿宋_GB2312" w:cs="仿宋_GB2312"/>
                <w:color w:val="auto"/>
                <w:spacing w:val="2"/>
                <w:sz w:val="28"/>
                <w:szCs w:val="28"/>
                <w:highlight w:val="none"/>
              </w:rPr>
              <w:t>服务方案阐述较为完整，内容基本覆盖，</w:t>
            </w:r>
            <w:r>
              <w:rPr>
                <w:rFonts w:hint="eastAsia" w:ascii="仿宋_GB2312" w:hAnsi="仿宋_GB2312" w:cs="仿宋_GB2312"/>
                <w:color w:val="auto"/>
                <w:spacing w:val="2"/>
                <w:sz w:val="28"/>
                <w:szCs w:val="28"/>
                <w:highlight w:val="none"/>
                <w:lang w:eastAsia="zh-CN"/>
              </w:rPr>
              <w:t>服务举措基本可行，</w:t>
            </w:r>
            <w:r>
              <w:rPr>
                <w:rFonts w:hint="eastAsia" w:ascii="仿宋_GB2312" w:hAnsi="仿宋_GB2312" w:cs="仿宋_GB2312"/>
                <w:color w:val="auto"/>
                <w:spacing w:val="2"/>
                <w:sz w:val="28"/>
                <w:szCs w:val="28"/>
                <w:highlight w:val="none"/>
              </w:rPr>
              <w:t>符合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项目实施要求的得6分；</w:t>
            </w:r>
          </w:p>
          <w:p w14:paraId="560C9FC8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auto"/>
                <w:spacing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③服务方案</w:t>
            </w:r>
            <w:r>
              <w:rPr>
                <w:rFonts w:hint="eastAsia" w:ascii="仿宋_GB2312" w:hAnsi="仿宋_GB2312" w:cs="仿宋_GB2312"/>
                <w:color w:val="auto"/>
                <w:spacing w:val="2"/>
                <w:sz w:val="28"/>
                <w:szCs w:val="28"/>
                <w:highlight w:val="none"/>
              </w:rPr>
              <w:t>阐述部分缺失，内容部分覆盖，</w:t>
            </w:r>
            <w:r>
              <w:rPr>
                <w:rFonts w:hint="eastAsia" w:ascii="仿宋_GB2312" w:hAnsi="仿宋_GB2312" w:cs="仿宋_GB2312"/>
                <w:color w:val="auto"/>
                <w:spacing w:val="2"/>
                <w:sz w:val="28"/>
                <w:szCs w:val="28"/>
                <w:highlight w:val="none"/>
                <w:lang w:eastAsia="zh-CN"/>
              </w:rPr>
              <w:t>服务举措部分可行，</w:t>
            </w:r>
            <w:r>
              <w:rPr>
                <w:rFonts w:hint="eastAsia" w:ascii="仿宋_GB2312" w:hAnsi="仿宋_GB2312" w:cs="仿宋_GB2312"/>
                <w:color w:val="auto"/>
                <w:spacing w:val="2"/>
                <w:sz w:val="28"/>
                <w:szCs w:val="28"/>
                <w:highlight w:val="none"/>
              </w:rPr>
              <w:t>得3分；</w:t>
            </w:r>
          </w:p>
          <w:p w14:paraId="5C05F158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auto"/>
                <w:spacing w:val="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④</w:t>
            </w:r>
            <w:r>
              <w:rPr>
                <w:rFonts w:hint="eastAsia" w:ascii="仿宋_GB2312" w:hAnsi="仿宋_GB2312" w:cs="仿宋_GB2312"/>
                <w:color w:val="auto"/>
                <w:spacing w:val="3"/>
                <w:sz w:val="28"/>
                <w:szCs w:val="28"/>
                <w:highlight w:val="none"/>
              </w:rPr>
              <w:t>未提供服务方案或者提供的方案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与实际采购内容严重偏离</w:t>
            </w:r>
            <w:r>
              <w:rPr>
                <w:rFonts w:hint="eastAsia" w:ascii="仿宋_GB2312" w:hAnsi="仿宋_GB2312" w:cs="仿宋_GB2312"/>
                <w:color w:val="auto"/>
                <w:spacing w:val="3"/>
                <w:sz w:val="28"/>
                <w:szCs w:val="28"/>
                <w:highlight w:val="none"/>
              </w:rPr>
              <w:t>的不得分。</w:t>
            </w:r>
          </w:p>
        </w:tc>
      </w:tr>
      <w:tr w14:paraId="5DC5690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779E024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0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4000750">
            <w:pPr>
              <w:pStyle w:val="10"/>
              <w:widowControl/>
              <w:spacing w:beforeAutospacing="0" w:afterAutospacing="0" w:line="400" w:lineRule="exac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活动宣传和学生组织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D99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12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725FDDD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根据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针对本项目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  <w:lang w:eastAsia="zh-CN"/>
              </w:rPr>
              <w:t>特点制定的活动宣传方案及参加活动学生的组织思路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进行评价：</w:t>
            </w:r>
          </w:p>
          <w:p w14:paraId="18CE5C58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①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  <w:lang w:eastAsia="zh-CN"/>
              </w:rPr>
              <w:t>活动宣传和学生组织思路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分析全面、措施可行，且有利于项目顺利实施的得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分；</w:t>
            </w:r>
          </w:p>
          <w:p w14:paraId="3F0819C8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②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  <w:lang w:eastAsia="zh-CN"/>
              </w:rPr>
              <w:t>活动宣传和学生组织思路</w:t>
            </w:r>
            <w:r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</w:rPr>
              <w:t>分析较为全面、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解决措施有一定的可行性</w:t>
            </w:r>
            <w:r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</w:rPr>
              <w:t>，基本符合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项目实施要求的得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分；</w:t>
            </w:r>
          </w:p>
          <w:p w14:paraId="0DB1A204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③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  <w:lang w:eastAsia="zh-CN"/>
              </w:rPr>
              <w:t>活动宣传和学生组织思路</w:t>
            </w:r>
            <w:r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</w:rPr>
              <w:t>分析较为一般，或无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解决措施</w:t>
            </w:r>
            <w:r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</w:rPr>
              <w:t>，得</w:t>
            </w:r>
            <w:r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</w:rPr>
              <w:t>分；</w:t>
            </w:r>
          </w:p>
          <w:p w14:paraId="43DB64FB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④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未提供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  <w:lang w:eastAsia="zh-CN"/>
              </w:rPr>
              <w:t>活动宣传和学生组织思路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或者提供的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  <w:lang w:eastAsia="zh-CN"/>
              </w:rPr>
              <w:t>内容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与实际采购内容严重偏离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的不得分。</w:t>
            </w:r>
          </w:p>
        </w:tc>
      </w:tr>
      <w:tr w14:paraId="16724C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08028C6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0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A367D31">
            <w:pPr>
              <w:pStyle w:val="10"/>
              <w:widowControl/>
              <w:spacing w:beforeAutospacing="0" w:afterAutospacing="0" w:line="400" w:lineRule="exact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eastAsia="zh-CN"/>
              </w:rPr>
              <w:t>实施保障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9B6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12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1E72B80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根据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提供的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eastAsia="zh-CN"/>
              </w:rPr>
              <w:t>实施保障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方案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eastAsia="zh-CN"/>
              </w:rPr>
              <w:t>（包括场地布置、活动流程设置、现场保障等）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进行评价：</w:t>
            </w:r>
          </w:p>
          <w:p w14:paraId="5B42DBC2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①</w:t>
            </w:r>
            <w:r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</w:rPr>
              <w:t>方案阐述完整，内容分析全面，</w:t>
            </w:r>
            <w:r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  <w:lang w:eastAsia="zh-CN"/>
              </w:rPr>
              <w:t>措施有力，对促进活动的开展</w:t>
            </w:r>
            <w:r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</w:rPr>
              <w:t>能发挥较大作用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的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得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分；</w:t>
            </w:r>
          </w:p>
          <w:p w14:paraId="046E965C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②</w:t>
            </w:r>
            <w:r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</w:rPr>
              <w:t>方案阐述较为完整，内容分析较为全面，</w:t>
            </w:r>
            <w:r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  <w:lang w:eastAsia="zh-CN"/>
              </w:rPr>
              <w:t>措施较为可行，对促进活动的开展</w:t>
            </w:r>
            <w:r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</w:rPr>
              <w:t>能发挥一定作用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的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得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分；</w:t>
            </w:r>
          </w:p>
          <w:p w14:paraId="4E9CB416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③</w:t>
            </w:r>
            <w:r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</w:rPr>
              <w:t>方案阐述较为局限，内容分析较为片面，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得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分；</w:t>
            </w:r>
          </w:p>
          <w:p w14:paraId="24E42021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④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未提供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eastAsia="zh-CN"/>
              </w:rPr>
              <w:t>实施保障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方案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或者提供的方案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与实际采购内容严重偏离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的不得分。</w:t>
            </w:r>
          </w:p>
        </w:tc>
      </w:tr>
      <w:tr w14:paraId="5559FD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0AF1CE1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0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9E27990">
            <w:pPr>
              <w:pStyle w:val="10"/>
              <w:widowControl/>
              <w:spacing w:beforeAutospacing="0" w:afterAutospacing="0" w:line="400" w:lineRule="exact"/>
              <w:rPr>
                <w:rFonts w:hint="default" w:ascii="仿宋_GB2312" w:hAnsi="仿宋_GB2312" w:eastAsia="仿宋_GB2312" w:cs="仿宋_GB2312"/>
                <w:spacing w:val="3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AI产品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E36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12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A1F3D40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根据供应商提供的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AI产品功能和使用介绍（视频）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进行评价：</w:t>
            </w:r>
          </w:p>
          <w:p w14:paraId="4D146C7C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①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AI产品功能丰富，满足活动需求，使用便捷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的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得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分；</w:t>
            </w:r>
          </w:p>
          <w:p w14:paraId="0C235A52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②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AI产品功能丰富，满足活动需求，使用较为便捷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的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得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13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分；</w:t>
            </w:r>
          </w:p>
          <w:p w14:paraId="00D325A8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③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AI产品功能丰富，满足活动需求，使用相对繁琐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的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得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分；</w:t>
            </w:r>
          </w:p>
          <w:p w14:paraId="403D0588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④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AI产品功能较为丰富，基本满足活动需求，使用便捷的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得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分；</w:t>
            </w:r>
          </w:p>
          <w:p w14:paraId="0FBEAA81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⑤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AI产品功能较为丰富，基本满足活动需求，使用较为便捷的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得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分；</w:t>
            </w:r>
          </w:p>
          <w:p w14:paraId="21B105FB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highlight w:val="none"/>
                <w:lang w:val="en-US" w:eastAsia="zh-CN"/>
              </w:rPr>
              <w:t>⑥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AI产品功能较为丰富，基本满足活动需求，使用相对繁琐的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得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分；</w:t>
            </w:r>
          </w:p>
          <w:p w14:paraId="58C2BF6A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⑦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AI产品功能一般，部分满足活动需求的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得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分；</w:t>
            </w:r>
          </w:p>
          <w:p w14:paraId="006B277D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⑧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未提供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AI产品功能和使用介绍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或者提供的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  <w:lang w:eastAsia="zh-CN"/>
              </w:rPr>
              <w:t>内容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与实际采购内容严重偏离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的不得分。</w:t>
            </w:r>
          </w:p>
        </w:tc>
      </w:tr>
      <w:tr w14:paraId="172CCFE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8D104AB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0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8F2E781">
            <w:pPr>
              <w:pStyle w:val="10"/>
              <w:widowControl/>
              <w:spacing w:beforeAutospacing="0" w:afterAutospacing="0" w:line="400" w:lineRule="exact"/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就业指导讲师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eastAsia="zh-CN"/>
              </w:rPr>
              <w:t>配置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90A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12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2F0A8A4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根据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提供的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  <w:lang w:eastAsia="zh-CN"/>
              </w:rPr>
              <w:t>针对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本项目实际情况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  <w:lang w:eastAsia="zh-CN"/>
              </w:rPr>
              <w:t>配置的就业指导讲师团队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进行评价：</w:t>
            </w:r>
          </w:p>
          <w:p w14:paraId="2F1E701C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①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  <w:lang w:eastAsia="zh-CN"/>
              </w:rPr>
              <w:t>配置的就业指导讲师可选性大、履历和授课经验丰富、擅长为高校学生进行就业指导的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得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分；</w:t>
            </w:r>
          </w:p>
          <w:p w14:paraId="64628ED4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②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  <w:lang w:eastAsia="zh-CN"/>
              </w:rPr>
              <w:t>配置的就业指导讲师可选性一般、履历和授课经验较为丰富、有一定的高校学生就业指导能力的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得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分；</w:t>
            </w:r>
          </w:p>
          <w:p w14:paraId="60B2208F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③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  <w:lang w:eastAsia="zh-CN"/>
              </w:rPr>
              <w:t>配置的就业指导讲师可选性小、履历和授课经验一般的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得</w:t>
            </w:r>
            <w:r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</w:rPr>
              <w:t>分；</w:t>
            </w:r>
          </w:p>
          <w:p w14:paraId="304E0B2C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④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未提供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  <w:lang w:eastAsia="zh-CN"/>
              </w:rPr>
              <w:t>就业指导讲师团队配置方案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或者提供的方案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与实际采购内容严重偏离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的不得分。</w:t>
            </w:r>
          </w:p>
          <w:p w14:paraId="75443015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  <w:lang w:eastAsia="zh-CN"/>
              </w:rPr>
              <w:t>供应商须提供就业指导讲师的履历和授课特长。</w:t>
            </w:r>
          </w:p>
        </w:tc>
      </w:tr>
      <w:tr w14:paraId="652DB23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1CD666C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0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2C5822D">
            <w:pPr>
              <w:pStyle w:val="10"/>
              <w:widowControl/>
              <w:spacing w:beforeAutospacing="0" w:afterAutospacing="0" w:line="400" w:lineRule="exac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4"/>
                <w:sz w:val="28"/>
                <w:szCs w:val="28"/>
                <w:highlight w:val="none"/>
              </w:rPr>
              <w:t>应急</w:t>
            </w:r>
            <w:r>
              <w:rPr>
                <w:rFonts w:hint="eastAsia" w:ascii="仿宋_GB2312" w:hAnsi="仿宋_GB2312" w:cs="仿宋_GB2312"/>
                <w:spacing w:val="4"/>
                <w:sz w:val="28"/>
                <w:szCs w:val="28"/>
                <w:highlight w:val="none"/>
                <w:lang w:eastAsia="zh-CN"/>
              </w:rPr>
              <w:t>处置方案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08D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12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C5A1580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spacing w:val="4"/>
                <w:sz w:val="28"/>
                <w:szCs w:val="28"/>
                <w:highlight w:val="none"/>
              </w:rPr>
              <w:t>根据供应商针对本项目提供的应急</w:t>
            </w:r>
            <w:r>
              <w:rPr>
                <w:rFonts w:hint="eastAsia" w:ascii="仿宋_GB2312" w:hAnsi="仿宋_GB2312" w:cs="仿宋_GB2312"/>
                <w:spacing w:val="4"/>
                <w:sz w:val="28"/>
                <w:szCs w:val="28"/>
                <w:highlight w:val="none"/>
                <w:lang w:eastAsia="zh-CN"/>
              </w:rPr>
              <w:t>处置</w:t>
            </w:r>
            <w:r>
              <w:rPr>
                <w:rFonts w:hint="eastAsia" w:ascii="仿宋_GB2312" w:hAnsi="仿宋_GB2312" w:cs="仿宋_GB2312"/>
                <w:spacing w:val="4"/>
                <w:sz w:val="28"/>
                <w:szCs w:val="28"/>
                <w:highlight w:val="none"/>
              </w:rPr>
              <w:t>方案进行评价：</w:t>
            </w:r>
          </w:p>
          <w:p w14:paraId="2EA07ECA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①方案针对性强，</w:t>
            </w:r>
            <w:r>
              <w:rPr>
                <w:rFonts w:hint="eastAsia" w:ascii="仿宋_GB2312" w:hAnsi="仿宋_GB2312" w:cs="仿宋_GB2312"/>
                <w:spacing w:val="4"/>
                <w:sz w:val="28"/>
                <w:szCs w:val="28"/>
                <w:highlight w:val="none"/>
              </w:rPr>
              <w:t>操作规程及措施可行性高，有利于及时解决突发应急事件的得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5分；</w:t>
            </w:r>
          </w:p>
          <w:p w14:paraId="05BF0BD2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②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方案针对性较强，</w:t>
            </w:r>
            <w:r>
              <w:rPr>
                <w:rFonts w:hint="eastAsia" w:ascii="仿宋_GB2312" w:hAnsi="仿宋_GB2312" w:cs="仿宋_GB2312"/>
                <w:spacing w:val="4"/>
                <w:sz w:val="28"/>
                <w:szCs w:val="28"/>
                <w:highlight w:val="none"/>
              </w:rPr>
              <w:t>操作规程及措施有一定可行性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，能</w:t>
            </w:r>
            <w:r>
              <w:rPr>
                <w:rFonts w:hint="eastAsia" w:ascii="仿宋_GB2312" w:hAnsi="仿宋_GB2312" w:cs="仿宋_GB2312"/>
                <w:spacing w:val="4"/>
                <w:sz w:val="28"/>
                <w:szCs w:val="28"/>
                <w:highlight w:val="none"/>
              </w:rPr>
              <w:t>解决突发应急事件的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得3分；</w:t>
            </w:r>
          </w:p>
          <w:p w14:paraId="38FC824F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③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方案针对性一般，</w:t>
            </w:r>
            <w:r>
              <w:rPr>
                <w:rFonts w:hint="eastAsia" w:ascii="仿宋_GB2312" w:hAnsi="仿宋_GB2312" w:cs="仿宋_GB2312"/>
                <w:spacing w:val="4"/>
                <w:sz w:val="28"/>
                <w:szCs w:val="28"/>
                <w:highlight w:val="none"/>
              </w:rPr>
              <w:t>操作规程及措施一般，</w:t>
            </w:r>
            <w:r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</w:rPr>
              <w:t>得1分；</w:t>
            </w:r>
          </w:p>
          <w:p w14:paraId="71DD1826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④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未提供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  <w:lang w:eastAsia="zh-CN"/>
              </w:rPr>
              <w:t>应急处置</w:t>
            </w:r>
            <w:r>
              <w:rPr>
                <w:rFonts w:hint="eastAsia" w:ascii="仿宋_GB2312" w:hAnsi="仿宋_GB2312" w:cs="仿宋_GB2312"/>
                <w:spacing w:val="4"/>
                <w:sz w:val="28"/>
                <w:szCs w:val="28"/>
                <w:highlight w:val="none"/>
              </w:rPr>
              <w:t>方案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或者者提供的方案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highlight w:val="none"/>
              </w:rPr>
              <w:t>与实际采购内容严重偏离</w:t>
            </w:r>
            <w:r>
              <w:rPr>
                <w:rFonts w:hint="eastAsia" w:ascii="仿宋_GB2312" w:hAnsi="仿宋_GB2312" w:cs="仿宋_GB2312"/>
                <w:spacing w:val="3"/>
                <w:sz w:val="28"/>
                <w:szCs w:val="28"/>
                <w:highlight w:val="none"/>
              </w:rPr>
              <w:t>的不得分。</w:t>
            </w:r>
          </w:p>
        </w:tc>
      </w:tr>
      <w:tr w14:paraId="11D3544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9D83357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0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8988C6A">
            <w:pPr>
              <w:pStyle w:val="10"/>
              <w:widowControl/>
              <w:spacing w:beforeAutospacing="0" w:afterAutospacing="0" w:line="400" w:lineRule="exact"/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eastAsia="zh-CN"/>
              </w:rPr>
              <w:t>服务团队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E52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12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69D7F3A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①供应商拟为本项目配备的服务团队人员需至少达到2人，且均具有专科及以上学历的得3分。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②在满足①的基础上，每增加1名专科及以上学历人员的加0.5分，最多加1分。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 xml:space="preserve">③在满足①的基础上，额外设置项目执行经理作为唯一对接采购人需求的负责人，在项目执行过程中统筹成交供应商团队工作的加1分，未设置不得分。 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④在满足①的基础上，团队成员中具有中级经济师职称（人力资源管理专业）的，每人加0.5分，最多加1分。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本项目满分6分。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 xml:space="preserve">注：供应商须提供： 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 xml:space="preserve">（1）服务团队人员的毕业证书复印件（或者学信网《教育部学历证书电子注册备案表》）和职称证书复印件； 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 xml:space="preserve">（2）供应商为服务团队人员缴交社保的证明【应提供磋商截止时间前六个月（不含磋商截止时间的当月）中任一月份供应商为人员缴纳社保的凭据或政府部门出具的证明。】； 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（3）人员名单（格式自拟）；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 xml:space="preserve">（4）如承诺设置项目执行经理，须附详细承诺书； 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（5）配备低于2人的本项不得分。</w:t>
            </w:r>
          </w:p>
        </w:tc>
      </w:tr>
      <w:tr w14:paraId="33CCF76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4B48762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0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A6C588A">
            <w:pPr>
              <w:pStyle w:val="10"/>
              <w:widowControl/>
              <w:spacing w:beforeAutospacing="0" w:afterAutospacing="0" w:line="40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服务承诺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686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2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3BEC7ED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供应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商承诺“在投标过程中所提供的一切材料及陈述均真实有效，无任何虚假应标行为，并将严格依据采购文件需求及响应方案，保质、保量履行合同约定的全部服务内容。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在服务期内，对拟投入的本项目所有服务人员安全负全部责任，若本项目工作人员发生安全事故，供应商承担全部责任。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如违反上述承诺，采购方有权随时单方解除本合同，且供应商自愿承担由此产生的一切法律责任及相应后果”的得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分。</w:t>
            </w:r>
          </w:p>
          <w:p w14:paraId="701EA2AD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供应商提供加盖公章的承诺书（格式自拟），否则不得分。</w:t>
            </w:r>
          </w:p>
        </w:tc>
      </w:tr>
      <w:tr w14:paraId="6DA21A8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7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198BCB2">
            <w:pPr>
              <w:pStyle w:val="10"/>
              <w:widowControl/>
              <w:spacing w:beforeAutospacing="0" w:afterAutospacing="0" w:line="400" w:lineRule="exact"/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三、商务分</w:t>
            </w:r>
          </w:p>
        </w:tc>
        <w:tc>
          <w:tcPr>
            <w:tcW w:w="12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EC0D13D">
            <w:pPr>
              <w:pStyle w:val="10"/>
              <w:widowControl/>
              <w:spacing w:beforeAutospacing="0" w:afterAutospacing="0"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333333"/>
                <w:sz w:val="28"/>
                <w:szCs w:val="28"/>
                <w:highlight w:val="none"/>
              </w:rPr>
              <w:t>　2</w:t>
            </w:r>
            <w:r>
              <w:rPr>
                <w:rFonts w:hint="eastAsia" w:ascii="仿宋_GB2312" w:hAnsi="仿宋_GB2312" w:cs="仿宋_GB2312"/>
                <w:b/>
                <w:bCs/>
                <w:color w:val="333333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 w14:paraId="3E01D81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A1B9020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333333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0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2DD12A3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内容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56F85EF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333333"/>
                <w:sz w:val="28"/>
                <w:szCs w:val="28"/>
                <w:highlight w:val="none"/>
              </w:rPr>
              <w:t>分值</w:t>
            </w:r>
          </w:p>
        </w:tc>
        <w:tc>
          <w:tcPr>
            <w:tcW w:w="612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E564F02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333333"/>
                <w:sz w:val="28"/>
                <w:szCs w:val="28"/>
                <w:highlight w:val="none"/>
              </w:rPr>
              <w:t>评分规则</w:t>
            </w:r>
          </w:p>
        </w:tc>
      </w:tr>
      <w:tr w14:paraId="2CFEDFF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A9CABF6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0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75643EF">
            <w:pPr>
              <w:pStyle w:val="10"/>
              <w:widowControl/>
              <w:spacing w:beforeAutospacing="0" w:afterAutospacing="0" w:line="40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同类业绩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22E25C9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612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7BEC299">
            <w:pPr>
              <w:pStyle w:val="10"/>
              <w:widowControl/>
              <w:shd w:val="clear" w:color="auto" w:fill="auto"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根据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供应商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2020年1月1日（以合同签订时间为准）至本项目投标截止之日承接过的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就业指导相关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项目的业绩案例情况进行评分：每提供1份有效业绩合同得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分，最高得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分。</w:t>
            </w:r>
          </w:p>
          <w:p w14:paraId="12EBE0BC">
            <w:pPr>
              <w:pStyle w:val="10"/>
              <w:widowControl/>
              <w:shd w:val="clear" w:color="auto" w:fill="auto"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spacing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提供合同复印件，否则不得分。</w:t>
            </w:r>
          </w:p>
        </w:tc>
      </w:tr>
      <w:tr w14:paraId="46E3D14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67385EF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0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5AFA9DB">
            <w:pPr>
              <w:pStyle w:val="10"/>
              <w:widowControl/>
              <w:spacing w:beforeAutospacing="0" w:afterAutospacing="0" w:line="40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满意度评价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1F61DC0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12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A055792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根据供应商提供的自2020年1月1日至投标截止（以评价材料出具时间为准）承接过的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就业指导相关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项目的，获得业主单位好评的情况进行评分：每提供一个业主的好评及其有效证明文件的得1分，满分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分。有效证明文件指：①提供服务合同文本； ②业主好评意见（好评评价的范围指的是优或满意或好或同等评语或得分为90分及以上的分值）；未按要求提供该项业绩完整资料的不得分。</w:t>
            </w:r>
          </w:p>
        </w:tc>
      </w:tr>
      <w:tr w14:paraId="40F9F0C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0970FF4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0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67A1BAE">
            <w:pPr>
              <w:pStyle w:val="10"/>
              <w:widowControl/>
              <w:spacing w:beforeAutospacing="0" w:afterAutospacing="0" w:line="40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企业</w:t>
            </w:r>
          </w:p>
          <w:p w14:paraId="0E4FB825">
            <w:pPr>
              <w:pStyle w:val="10"/>
              <w:widowControl/>
              <w:spacing w:beforeAutospacing="0" w:afterAutospacing="0" w:line="400" w:lineRule="exact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资质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BB40A67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612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EFCE63E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根据供应商获得质量管理体系认证、环境管理体系认证、职业健康安全管理体系认证、信息技术服务管理体系认证、信息安全管理体系认证等认证情况进行评价：每个得1分，满分5分。相关证书需在国家认证认可监督管理委员会（www.cnca.gov.cn）官方网站上可查询，需提供有效期内的认证证书复印件和网站查询截图。</w:t>
            </w:r>
          </w:p>
        </w:tc>
      </w:tr>
      <w:tr w14:paraId="16BD70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7380CEF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E118215">
            <w:pPr>
              <w:pStyle w:val="10"/>
              <w:widowControl/>
              <w:spacing w:beforeAutospacing="0" w:afterAutospacing="0"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无重大违纪记录承诺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836210F">
            <w:pPr>
              <w:pStyle w:val="10"/>
              <w:widowControl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333333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612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0FB07F6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供应商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承诺“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近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三年在经营活动中无重大违纪记录”的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得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分。</w:t>
            </w:r>
          </w:p>
          <w:p w14:paraId="788ED38F">
            <w:pPr>
              <w:pStyle w:val="10"/>
              <w:widowControl/>
              <w:spacing w:beforeAutospacing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供应商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提供加盖公章的承诺书（格式自拟）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</w:rPr>
              <w:t>，否则不得分。</w:t>
            </w:r>
          </w:p>
        </w:tc>
      </w:tr>
    </w:tbl>
    <w:p w14:paraId="645F1FEC">
      <w:pPr>
        <w:wordWrap/>
        <w:ind w:firstLine="636" w:firstLineChars="200"/>
        <w:jc w:val="right"/>
        <w:rPr>
          <w:rFonts w:hint="eastAsia" w:ascii="仿宋_GB2312"/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794" w:gutter="0"/>
      <w:cols w:space="425" w:num="1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25E1F">
    <w:pPr>
      <w:pStyle w:val="8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7DFE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7DFE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07753">
    <w:pPr>
      <w:pStyle w:val="8"/>
      <w:framePr w:wrap="around" w:vAnchor="text" w:hAnchor="margin" w:xAlign="outside" w:y="1"/>
      <w:ind w:left="320" w:leftChars="100"/>
      <w:rPr>
        <w:rStyle w:val="15"/>
        <w:rFonts w:hint="eastAsia" w:ascii="宋体" w:hAnsi="宋体" w:eastAsia="宋体"/>
      </w:rPr>
    </w:pPr>
    <w:r>
      <w:rPr>
        <w:rStyle w:val="15"/>
        <w:rFonts w:hint="eastAsia" w:ascii="宋体" w:hAnsi="宋体" w:eastAsia="宋体"/>
        <w:sz w:val="28"/>
        <w:szCs w:val="28"/>
      </w:rPr>
      <w:t xml:space="preserve">— </w:t>
    </w:r>
    <w:r>
      <w:rPr>
        <w:rStyle w:val="15"/>
        <w:rFonts w:ascii="宋体" w:hAnsi="宋体" w:eastAsia="宋体"/>
        <w:sz w:val="28"/>
        <w:szCs w:val="28"/>
      </w:rPr>
      <w:fldChar w:fldCharType="begin"/>
    </w:r>
    <w:r>
      <w:rPr>
        <w:rStyle w:val="15"/>
        <w:rFonts w:ascii="宋体" w:hAnsi="宋体" w:eastAsia="宋体"/>
        <w:sz w:val="28"/>
        <w:szCs w:val="28"/>
      </w:rPr>
      <w:instrText xml:space="preserve">PAGE  </w:instrText>
    </w:r>
    <w:r>
      <w:rPr>
        <w:rStyle w:val="15"/>
        <w:rFonts w:ascii="宋体" w:hAnsi="宋体" w:eastAsia="宋体"/>
        <w:sz w:val="28"/>
        <w:szCs w:val="28"/>
      </w:rPr>
      <w:fldChar w:fldCharType="separate"/>
    </w:r>
    <w:r>
      <w:rPr>
        <w:rStyle w:val="15"/>
        <w:rFonts w:ascii="宋体" w:hAnsi="宋体" w:eastAsia="宋体"/>
        <w:sz w:val="28"/>
        <w:szCs w:val="28"/>
      </w:rPr>
      <w:t>2</w:t>
    </w:r>
    <w:r>
      <w:rPr>
        <w:rStyle w:val="15"/>
        <w:rFonts w:ascii="宋体" w:hAnsi="宋体" w:eastAsia="宋体"/>
        <w:sz w:val="28"/>
        <w:szCs w:val="28"/>
      </w:rPr>
      <w:fldChar w:fldCharType="end"/>
    </w:r>
    <w:r>
      <w:rPr>
        <w:rStyle w:val="15"/>
        <w:rFonts w:hint="eastAsia" w:ascii="宋体" w:hAnsi="宋体" w:eastAsia="宋体"/>
        <w:sz w:val="28"/>
        <w:szCs w:val="28"/>
      </w:rPr>
      <w:t xml:space="preserve"> —</w:t>
    </w:r>
  </w:p>
  <w:p w14:paraId="417E957A">
    <w:pPr>
      <w:pStyle w:val="8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EF1A1">
    <w:pPr>
      <w:pStyle w:val="9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06"/>
    <w:rsid w:val="00060B5C"/>
    <w:rsid w:val="00066AEA"/>
    <w:rsid w:val="000F58AC"/>
    <w:rsid w:val="00121D95"/>
    <w:rsid w:val="0015548D"/>
    <w:rsid w:val="00235BF9"/>
    <w:rsid w:val="0029459C"/>
    <w:rsid w:val="00342806"/>
    <w:rsid w:val="003852D9"/>
    <w:rsid w:val="004D1193"/>
    <w:rsid w:val="005F1EA7"/>
    <w:rsid w:val="0070323B"/>
    <w:rsid w:val="007E30C2"/>
    <w:rsid w:val="007F2CE5"/>
    <w:rsid w:val="00847DE1"/>
    <w:rsid w:val="008A7B66"/>
    <w:rsid w:val="008B4322"/>
    <w:rsid w:val="009B5925"/>
    <w:rsid w:val="00A02003"/>
    <w:rsid w:val="00AE18E6"/>
    <w:rsid w:val="00B04A05"/>
    <w:rsid w:val="00B05AF3"/>
    <w:rsid w:val="00BB4613"/>
    <w:rsid w:val="00CA0B31"/>
    <w:rsid w:val="00D36D17"/>
    <w:rsid w:val="00E31615"/>
    <w:rsid w:val="00E54ADD"/>
    <w:rsid w:val="00F413DD"/>
    <w:rsid w:val="00F806A7"/>
    <w:rsid w:val="00FF582C"/>
    <w:rsid w:val="01214875"/>
    <w:rsid w:val="014B4D86"/>
    <w:rsid w:val="01924B58"/>
    <w:rsid w:val="019369FE"/>
    <w:rsid w:val="01963029"/>
    <w:rsid w:val="01D06BCE"/>
    <w:rsid w:val="0251565A"/>
    <w:rsid w:val="02931CA0"/>
    <w:rsid w:val="02AD3B9E"/>
    <w:rsid w:val="02CE51D8"/>
    <w:rsid w:val="02D95705"/>
    <w:rsid w:val="02FA25AA"/>
    <w:rsid w:val="03382774"/>
    <w:rsid w:val="033C7E53"/>
    <w:rsid w:val="03983DE3"/>
    <w:rsid w:val="03AC4E5B"/>
    <w:rsid w:val="0401534B"/>
    <w:rsid w:val="043A7BFD"/>
    <w:rsid w:val="04B47E4E"/>
    <w:rsid w:val="04DE0FCB"/>
    <w:rsid w:val="052E44FE"/>
    <w:rsid w:val="0567259F"/>
    <w:rsid w:val="058B7C4F"/>
    <w:rsid w:val="062F376E"/>
    <w:rsid w:val="06AE3D97"/>
    <w:rsid w:val="06B37658"/>
    <w:rsid w:val="07277F24"/>
    <w:rsid w:val="0748600C"/>
    <w:rsid w:val="07506C6F"/>
    <w:rsid w:val="0760625D"/>
    <w:rsid w:val="07974726"/>
    <w:rsid w:val="07A7544D"/>
    <w:rsid w:val="08816B15"/>
    <w:rsid w:val="08E05768"/>
    <w:rsid w:val="09053F45"/>
    <w:rsid w:val="092E3A4F"/>
    <w:rsid w:val="09745617"/>
    <w:rsid w:val="0A583F07"/>
    <w:rsid w:val="0A6822F6"/>
    <w:rsid w:val="0B420FC5"/>
    <w:rsid w:val="0BAF665A"/>
    <w:rsid w:val="0C526B20"/>
    <w:rsid w:val="0C5C177D"/>
    <w:rsid w:val="0C6245C1"/>
    <w:rsid w:val="0CB10B0C"/>
    <w:rsid w:val="0CED48AB"/>
    <w:rsid w:val="0D945FE2"/>
    <w:rsid w:val="0E713040"/>
    <w:rsid w:val="0E7C4407"/>
    <w:rsid w:val="0EF37E23"/>
    <w:rsid w:val="0F2B2C04"/>
    <w:rsid w:val="0F814DAD"/>
    <w:rsid w:val="0F96680A"/>
    <w:rsid w:val="0FA24A47"/>
    <w:rsid w:val="0FEE51C5"/>
    <w:rsid w:val="11602D5A"/>
    <w:rsid w:val="11622887"/>
    <w:rsid w:val="12B85F8F"/>
    <w:rsid w:val="12F036DC"/>
    <w:rsid w:val="1417538B"/>
    <w:rsid w:val="14C423AB"/>
    <w:rsid w:val="14F43330"/>
    <w:rsid w:val="15225440"/>
    <w:rsid w:val="153E7F13"/>
    <w:rsid w:val="15FC759A"/>
    <w:rsid w:val="165837EF"/>
    <w:rsid w:val="16980473"/>
    <w:rsid w:val="16D263C8"/>
    <w:rsid w:val="176B72A8"/>
    <w:rsid w:val="182C0CDA"/>
    <w:rsid w:val="185B5F9A"/>
    <w:rsid w:val="18E557A9"/>
    <w:rsid w:val="19951491"/>
    <w:rsid w:val="1A0544EC"/>
    <w:rsid w:val="1AF22476"/>
    <w:rsid w:val="1B3846F0"/>
    <w:rsid w:val="1B574AE9"/>
    <w:rsid w:val="1B5F2658"/>
    <w:rsid w:val="1B6C7EE2"/>
    <w:rsid w:val="1C2772FA"/>
    <w:rsid w:val="1C7476DD"/>
    <w:rsid w:val="1CA5324B"/>
    <w:rsid w:val="1CF57A3A"/>
    <w:rsid w:val="1D23184E"/>
    <w:rsid w:val="1D4E68CD"/>
    <w:rsid w:val="1D4F1961"/>
    <w:rsid w:val="1D583066"/>
    <w:rsid w:val="1E2F4628"/>
    <w:rsid w:val="1E8C45D3"/>
    <w:rsid w:val="1EE737B5"/>
    <w:rsid w:val="1EEC7AF0"/>
    <w:rsid w:val="1EF025DA"/>
    <w:rsid w:val="1F313D83"/>
    <w:rsid w:val="1F524E61"/>
    <w:rsid w:val="1F792252"/>
    <w:rsid w:val="1FB723C0"/>
    <w:rsid w:val="1FD02D82"/>
    <w:rsid w:val="201017FC"/>
    <w:rsid w:val="20F12E19"/>
    <w:rsid w:val="21BE3ED6"/>
    <w:rsid w:val="21C75CD2"/>
    <w:rsid w:val="222019A8"/>
    <w:rsid w:val="22A86A93"/>
    <w:rsid w:val="24660589"/>
    <w:rsid w:val="248012B4"/>
    <w:rsid w:val="24A10DD2"/>
    <w:rsid w:val="252A313D"/>
    <w:rsid w:val="254820D7"/>
    <w:rsid w:val="25AB2AFB"/>
    <w:rsid w:val="26737655"/>
    <w:rsid w:val="267B5E3B"/>
    <w:rsid w:val="26BE6203"/>
    <w:rsid w:val="273E1CAF"/>
    <w:rsid w:val="287328D5"/>
    <w:rsid w:val="28E55BE9"/>
    <w:rsid w:val="2A391B03"/>
    <w:rsid w:val="2A9E766D"/>
    <w:rsid w:val="2AE03945"/>
    <w:rsid w:val="2B0B4E27"/>
    <w:rsid w:val="2B3E4456"/>
    <w:rsid w:val="2B6573AB"/>
    <w:rsid w:val="2BF13A41"/>
    <w:rsid w:val="2C5A42B6"/>
    <w:rsid w:val="2CF27FDF"/>
    <w:rsid w:val="2D1F5D48"/>
    <w:rsid w:val="2D3E1F5E"/>
    <w:rsid w:val="2DD61302"/>
    <w:rsid w:val="2E591537"/>
    <w:rsid w:val="2E772D84"/>
    <w:rsid w:val="2EC15341"/>
    <w:rsid w:val="2F2D728D"/>
    <w:rsid w:val="2F6219CF"/>
    <w:rsid w:val="2FD34228"/>
    <w:rsid w:val="305B22B4"/>
    <w:rsid w:val="30B928B7"/>
    <w:rsid w:val="311D118B"/>
    <w:rsid w:val="31306953"/>
    <w:rsid w:val="313D032A"/>
    <w:rsid w:val="316E30B5"/>
    <w:rsid w:val="31C1450F"/>
    <w:rsid w:val="31EA081E"/>
    <w:rsid w:val="321150C9"/>
    <w:rsid w:val="3212499D"/>
    <w:rsid w:val="32805A03"/>
    <w:rsid w:val="32EF4085"/>
    <w:rsid w:val="334B6DE7"/>
    <w:rsid w:val="34F63C04"/>
    <w:rsid w:val="34F85FE0"/>
    <w:rsid w:val="35887450"/>
    <w:rsid w:val="35A201B1"/>
    <w:rsid w:val="35C45E31"/>
    <w:rsid w:val="35D44423"/>
    <w:rsid w:val="35E623C9"/>
    <w:rsid w:val="361C51EB"/>
    <w:rsid w:val="3627310D"/>
    <w:rsid w:val="3636123D"/>
    <w:rsid w:val="36F31241"/>
    <w:rsid w:val="370C65DF"/>
    <w:rsid w:val="371224D2"/>
    <w:rsid w:val="37CA561C"/>
    <w:rsid w:val="37ED1DE6"/>
    <w:rsid w:val="37EE32C1"/>
    <w:rsid w:val="39230EE5"/>
    <w:rsid w:val="392C04C3"/>
    <w:rsid w:val="393802EC"/>
    <w:rsid w:val="39630D50"/>
    <w:rsid w:val="39695A15"/>
    <w:rsid w:val="39850106"/>
    <w:rsid w:val="39CB4303"/>
    <w:rsid w:val="3A340FF7"/>
    <w:rsid w:val="3A612966"/>
    <w:rsid w:val="3A7E72AC"/>
    <w:rsid w:val="3B104A64"/>
    <w:rsid w:val="3C996596"/>
    <w:rsid w:val="3C9E41B0"/>
    <w:rsid w:val="3CC332D9"/>
    <w:rsid w:val="3CD90A8C"/>
    <w:rsid w:val="3DDC22F1"/>
    <w:rsid w:val="3DE02363"/>
    <w:rsid w:val="402F568A"/>
    <w:rsid w:val="40601D65"/>
    <w:rsid w:val="40797148"/>
    <w:rsid w:val="40BD03D8"/>
    <w:rsid w:val="41881A54"/>
    <w:rsid w:val="42331E04"/>
    <w:rsid w:val="425E3683"/>
    <w:rsid w:val="437C7419"/>
    <w:rsid w:val="438E4C43"/>
    <w:rsid w:val="44093D0A"/>
    <w:rsid w:val="446B39BF"/>
    <w:rsid w:val="44A57770"/>
    <w:rsid w:val="44DE52DF"/>
    <w:rsid w:val="44E4041B"/>
    <w:rsid w:val="454669E0"/>
    <w:rsid w:val="46662A25"/>
    <w:rsid w:val="46D52CF0"/>
    <w:rsid w:val="46EE0B9E"/>
    <w:rsid w:val="46FA438B"/>
    <w:rsid w:val="47154D9B"/>
    <w:rsid w:val="47560522"/>
    <w:rsid w:val="48E9140D"/>
    <w:rsid w:val="49133F46"/>
    <w:rsid w:val="49A560E6"/>
    <w:rsid w:val="49CF25DD"/>
    <w:rsid w:val="4A1E028F"/>
    <w:rsid w:val="4AA0750A"/>
    <w:rsid w:val="4AFE5E7D"/>
    <w:rsid w:val="4B326A78"/>
    <w:rsid w:val="4B4D2469"/>
    <w:rsid w:val="4BB40F3D"/>
    <w:rsid w:val="4BD96ED8"/>
    <w:rsid w:val="4D3B3B11"/>
    <w:rsid w:val="4E2B0E69"/>
    <w:rsid w:val="4E362FD4"/>
    <w:rsid w:val="4EE31253"/>
    <w:rsid w:val="4FD00BA1"/>
    <w:rsid w:val="50467DF8"/>
    <w:rsid w:val="509C609C"/>
    <w:rsid w:val="51414027"/>
    <w:rsid w:val="515B23FF"/>
    <w:rsid w:val="51820DAD"/>
    <w:rsid w:val="519A433C"/>
    <w:rsid w:val="51B353FD"/>
    <w:rsid w:val="51D071E5"/>
    <w:rsid w:val="529C72DE"/>
    <w:rsid w:val="52A80CDA"/>
    <w:rsid w:val="52E73A8B"/>
    <w:rsid w:val="530C1629"/>
    <w:rsid w:val="530D6C45"/>
    <w:rsid w:val="54AF45A2"/>
    <w:rsid w:val="54CD2C7A"/>
    <w:rsid w:val="554C67B5"/>
    <w:rsid w:val="55BB383F"/>
    <w:rsid w:val="55E12C81"/>
    <w:rsid w:val="56026953"/>
    <w:rsid w:val="56975F64"/>
    <w:rsid w:val="56D92513"/>
    <w:rsid w:val="57684D2E"/>
    <w:rsid w:val="577115F6"/>
    <w:rsid w:val="57B1010C"/>
    <w:rsid w:val="57CD7D9D"/>
    <w:rsid w:val="5816663A"/>
    <w:rsid w:val="583026E4"/>
    <w:rsid w:val="585F6E8A"/>
    <w:rsid w:val="58B95DBF"/>
    <w:rsid w:val="58E62E0E"/>
    <w:rsid w:val="5A4752B4"/>
    <w:rsid w:val="5B8874CC"/>
    <w:rsid w:val="5BBD3DFF"/>
    <w:rsid w:val="5D024686"/>
    <w:rsid w:val="5D2A305F"/>
    <w:rsid w:val="5D573DFF"/>
    <w:rsid w:val="5D654CD5"/>
    <w:rsid w:val="5DC854D0"/>
    <w:rsid w:val="5DEA287F"/>
    <w:rsid w:val="5E0525A6"/>
    <w:rsid w:val="5E522ABE"/>
    <w:rsid w:val="5E993BCD"/>
    <w:rsid w:val="5F046C6A"/>
    <w:rsid w:val="5F065054"/>
    <w:rsid w:val="5F6C6982"/>
    <w:rsid w:val="5FA970D9"/>
    <w:rsid w:val="5FCF3D4A"/>
    <w:rsid w:val="60057CBB"/>
    <w:rsid w:val="60D10B85"/>
    <w:rsid w:val="61D63650"/>
    <w:rsid w:val="62177C9D"/>
    <w:rsid w:val="623C05E2"/>
    <w:rsid w:val="627064A9"/>
    <w:rsid w:val="62C02345"/>
    <w:rsid w:val="64BB22FB"/>
    <w:rsid w:val="64D24668"/>
    <w:rsid w:val="64F733FB"/>
    <w:rsid w:val="64FE0B75"/>
    <w:rsid w:val="652A0093"/>
    <w:rsid w:val="6544589C"/>
    <w:rsid w:val="65A95841"/>
    <w:rsid w:val="65C966DC"/>
    <w:rsid w:val="65E8002A"/>
    <w:rsid w:val="65F95B90"/>
    <w:rsid w:val="66214BD4"/>
    <w:rsid w:val="66795C8E"/>
    <w:rsid w:val="672F50CE"/>
    <w:rsid w:val="673C4105"/>
    <w:rsid w:val="675A6093"/>
    <w:rsid w:val="67F332E6"/>
    <w:rsid w:val="68464643"/>
    <w:rsid w:val="68A815DC"/>
    <w:rsid w:val="68F60FD6"/>
    <w:rsid w:val="69FE29C3"/>
    <w:rsid w:val="6A1D1368"/>
    <w:rsid w:val="6AB565EC"/>
    <w:rsid w:val="6AD5291B"/>
    <w:rsid w:val="6B255E32"/>
    <w:rsid w:val="6BA12123"/>
    <w:rsid w:val="6BC90CA9"/>
    <w:rsid w:val="6C970523"/>
    <w:rsid w:val="6CA25CCC"/>
    <w:rsid w:val="6CB4726F"/>
    <w:rsid w:val="6D374F86"/>
    <w:rsid w:val="6DCE3893"/>
    <w:rsid w:val="6EF81860"/>
    <w:rsid w:val="6F1712CA"/>
    <w:rsid w:val="6F3951F2"/>
    <w:rsid w:val="700F114A"/>
    <w:rsid w:val="705E2D5A"/>
    <w:rsid w:val="71003DE3"/>
    <w:rsid w:val="71724535"/>
    <w:rsid w:val="71A803D2"/>
    <w:rsid w:val="71AA2E8F"/>
    <w:rsid w:val="71F75304"/>
    <w:rsid w:val="73327548"/>
    <w:rsid w:val="73412C30"/>
    <w:rsid w:val="73425947"/>
    <w:rsid w:val="738D2FA0"/>
    <w:rsid w:val="748E78D8"/>
    <w:rsid w:val="74FF707E"/>
    <w:rsid w:val="753C0940"/>
    <w:rsid w:val="75846316"/>
    <w:rsid w:val="766E2416"/>
    <w:rsid w:val="76C43F49"/>
    <w:rsid w:val="775939AE"/>
    <w:rsid w:val="77B10685"/>
    <w:rsid w:val="77B55EE6"/>
    <w:rsid w:val="781D05EA"/>
    <w:rsid w:val="783C7CD0"/>
    <w:rsid w:val="783F2253"/>
    <w:rsid w:val="787943FB"/>
    <w:rsid w:val="78A33E20"/>
    <w:rsid w:val="78F56A23"/>
    <w:rsid w:val="79236EC1"/>
    <w:rsid w:val="79C14B25"/>
    <w:rsid w:val="7AC259B8"/>
    <w:rsid w:val="7AE85868"/>
    <w:rsid w:val="7B843AAD"/>
    <w:rsid w:val="7C6F2E58"/>
    <w:rsid w:val="7C9C2DEF"/>
    <w:rsid w:val="7D605F94"/>
    <w:rsid w:val="7DCE51E9"/>
    <w:rsid w:val="7E017C40"/>
    <w:rsid w:val="7E0932F8"/>
    <w:rsid w:val="7E5609AD"/>
    <w:rsid w:val="7EDC17EC"/>
    <w:rsid w:val="7F0B7059"/>
    <w:rsid w:val="7F606315"/>
    <w:rsid w:val="7F9B74A5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paragraph" w:styleId="4">
    <w:name w:val="heading 3"/>
    <w:basedOn w:val="1"/>
    <w:next w:val="1"/>
    <w:qFormat/>
    <w:uiPriority w:val="9"/>
    <w:pPr>
      <w:keepNext/>
      <w:keepLines/>
      <w:spacing w:line="360" w:lineRule="auto"/>
      <w:jc w:val="center"/>
      <w:outlineLvl w:val="2"/>
    </w:pPr>
    <w:rPr>
      <w:rFonts w:eastAsia="黑体"/>
      <w:b/>
      <w:bCs/>
      <w:sz w:val="28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19"/>
    <w:qFormat/>
    <w:uiPriority w:val="0"/>
    <w:rPr>
      <w:rFonts w:ascii="仿宋_GB2312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日期 字符"/>
    <w:basedOn w:val="13"/>
    <w:link w:val="6"/>
    <w:qFormat/>
    <w:uiPriority w:val="0"/>
    <w:rPr>
      <w:rFonts w:ascii="仿宋_GB2312" w:hAnsi="Times New Roman" w:eastAsia="仿宋_GB2312" w:cs="Times New Roman"/>
      <w:sz w:val="32"/>
      <w:szCs w:val="24"/>
    </w:rPr>
  </w:style>
  <w:style w:type="paragraph" w:customStyle="1" w:styleId="20">
    <w:name w:val="Char Char Char Char Char Char1 Char"/>
    <w:basedOn w:val="1"/>
    <w:qFormat/>
    <w:uiPriority w:val="0"/>
    <w:rPr>
      <w:rFonts w:eastAsia="宋体"/>
      <w:sz w:val="21"/>
    </w:rPr>
  </w:style>
  <w:style w:type="character" w:customStyle="1" w:styleId="21">
    <w:name w:val="批注框文本 字符"/>
    <w:basedOn w:val="13"/>
    <w:link w:val="7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22">
    <w:name w:val="列表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23">
    <w:name w:val="font91"/>
    <w:qFormat/>
    <w:uiPriority w:val="0"/>
    <w:rPr>
      <w:rFonts w:ascii="Arial" w:hAnsi="Arial" w:cs="Arial"/>
      <w:b/>
      <w:bCs/>
      <w:color w:val="000000"/>
      <w:sz w:val="24"/>
      <w:szCs w:val="24"/>
      <w:u w:val="single"/>
    </w:rPr>
  </w:style>
  <w:style w:type="character" w:customStyle="1" w:styleId="24">
    <w:name w:val="font101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single"/>
    </w:rPr>
  </w:style>
  <w:style w:type="character" w:customStyle="1" w:styleId="25">
    <w:name w:val="font7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6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批注文字 字符"/>
    <w:basedOn w:val="13"/>
    <w:link w:val="5"/>
    <w:qFormat/>
    <w:uiPriority w:val="99"/>
    <w:rPr>
      <w:rFonts w:eastAsia="仿宋_GB2312"/>
      <w:kern w:val="2"/>
      <w:sz w:val="32"/>
      <w:szCs w:val="24"/>
    </w:rPr>
  </w:style>
  <w:style w:type="character" w:customStyle="1" w:styleId="28">
    <w:name w:val="批注主题 字符"/>
    <w:basedOn w:val="27"/>
    <w:link w:val="11"/>
    <w:semiHidden/>
    <w:qFormat/>
    <w:uiPriority w:val="99"/>
    <w:rPr>
      <w:rFonts w:eastAsia="仿宋_GB2312"/>
      <w:b/>
      <w:bCs/>
      <w:kern w:val="2"/>
      <w:sz w:val="32"/>
      <w:szCs w:val="24"/>
    </w:rPr>
  </w:style>
  <w:style w:type="paragraph" w:customStyle="1" w:styleId="2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2620</Words>
  <Characters>2686</Characters>
  <Lines>238</Lines>
  <Paragraphs>236</Paragraphs>
  <TotalTime>53</TotalTime>
  <ScaleCrop>false</ScaleCrop>
  <LinksUpToDate>false</LinksUpToDate>
  <CharactersWithSpaces>2707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2016-12-14T01:50:00Z</dcterms:created>
  <dc:creator>admin</dc:creator>
  <cp:lastModifiedBy>友直</cp:lastModifiedBy>
  <cp:lastPrinted>2026-03-12T08:13:00Z</cp:lastPrinted>
  <dcterms:modified xsi:type="dcterms:W3CDTF">2026-03-18T08:54:31Z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eyJoZGlkIjoiNzk4NzQyOTUxMTkwMjMxNzBmZDJjMzZjNGMxZDU0NTciLCJ1c2VySWQiOiIxNTI4MzYxODM3In0=</vt:lpwstr>
  </property>
  <property fmtid="{D5CDD505-2E9C-101B-9397-08002B2CF9AE}" pid="3" name="KSOProductBuildVer">
    <vt:lpwstr>2052-12.1.0.25225</vt:lpwstr>
  </property>
  <property fmtid="{D5CDD505-2E9C-101B-9397-08002B2CF9AE}" pid="4" name="ICV">
    <vt:lpwstr>CEF7BD3837CA406192AF8640E7D54901_13</vt:lpwstr>
  </property>
</Properties>
</file>